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informacji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udzielają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F45B5F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</w:pPr>
                                  <w:r w:rsidRPr="00F45B5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en-GB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F45B5F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45B5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en-GB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2D545B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2D485F" w:rsidRDefault="00B1306F" w:rsidP="00634EDC">
            <w:pPr>
              <w:pStyle w:val="NEWSRELEASE"/>
              <w:rPr>
                <w:lang w:val="pl-PL"/>
              </w:rPr>
            </w:pPr>
            <w:r w:rsidRPr="002D485F">
              <w:rPr>
                <w:lang w:val="pl-PL"/>
              </w:rPr>
              <w:t>INFORMACJA PRASOWA</w:t>
            </w:r>
          </w:p>
          <w:p w14:paraId="3E339B53" w14:textId="7CF6D0CC" w:rsidR="00295F7A" w:rsidRDefault="00622583" w:rsidP="002D485F">
            <w:pPr>
              <w:pStyle w:val="Nagwek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</w:pP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Nowa opona wyścigowa od </w:t>
            </w:r>
            <w:r w:rsidR="00BE1840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Goodyear </w:t>
            </w: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na nowy sezon </w:t>
            </w:r>
            <w:r w:rsidR="00FD35DD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mistrzostw ciężarówek</w:t>
            </w:r>
          </w:p>
          <w:p w14:paraId="65948632" w14:textId="4F496404" w:rsidR="00F2057B" w:rsidRPr="00F2057B" w:rsidRDefault="00B1306F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295F7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2</w:t>
            </w:r>
            <w:r w:rsidR="0065647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1</w:t>
            </w:r>
            <w:r w:rsid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maja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76807" w:rsidRPr="00F45B5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–</w:t>
            </w:r>
            <w:r w:rsidR="00F2057B" w:rsidRPr="00F2057B">
              <w:rPr>
                <w:lang w:val="pl-PL"/>
              </w:rPr>
              <w:t xml:space="preserve"> 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Wyścig</w:t>
            </w:r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na włoskim torze </w:t>
            </w:r>
            <w:proofErr w:type="spellStart"/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>Misano</w:t>
            </w:r>
            <w:proofErr w:type="spellEnd"/>
            <w:r w:rsidR="00656474">
              <w:rPr>
                <w:rFonts w:ascii="Barlow" w:hAnsi="Barlow"/>
                <w:sz w:val="22"/>
                <w:szCs w:val="22"/>
                <w:lang w:val="pl-PL"/>
              </w:rPr>
              <w:t xml:space="preserve"> w </w:t>
            </w:r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najbliższy weekend 25-26 maja rozpocznie nowy sezon zmagań w ramach mistrzostw </w:t>
            </w:r>
            <w:proofErr w:type="spellStart"/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>Goodyear</w:t>
            </w:r>
            <w:proofErr w:type="spellEnd"/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FIA </w:t>
            </w:r>
            <w:proofErr w:type="spellStart"/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>European</w:t>
            </w:r>
            <w:proofErr w:type="spellEnd"/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Truck Racing Championship</w:t>
            </w:r>
            <w:r w:rsidR="00F45F44">
              <w:rPr>
                <w:rFonts w:ascii="Barlow" w:hAnsi="Barlow"/>
                <w:sz w:val="22"/>
                <w:szCs w:val="22"/>
                <w:lang w:val="pl-PL"/>
              </w:rPr>
              <w:t xml:space="preserve">, które w tym roku 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świętują</w:t>
            </w:r>
            <w:r w:rsidR="00F45F44">
              <w:rPr>
                <w:rFonts w:ascii="Barlow" w:hAnsi="Barlow"/>
                <w:sz w:val="22"/>
                <w:szCs w:val="22"/>
                <w:lang w:val="pl-PL"/>
              </w:rPr>
              <w:t xml:space="preserve"> swoje 40-lecie</w:t>
            </w:r>
            <w:r w:rsidR="00F2057B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. 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>Goodyear, sponsor tytularny mistrzostw i wyłączny dostawc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a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opon, wprowadza 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 xml:space="preserve">w tym roku 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nową 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 xml:space="preserve">oponę wyścigową, której 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mieszanka 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ma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zapewni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ć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większ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>ą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 xml:space="preserve"> przyczepnoś</w:t>
            </w:r>
            <w:r w:rsidR="00656474">
              <w:rPr>
                <w:rFonts w:ascii="Barlow" w:hAnsi="Barlow"/>
                <w:sz w:val="22"/>
                <w:szCs w:val="22"/>
                <w:lang w:val="pl-PL"/>
              </w:rPr>
              <w:t xml:space="preserve">ć </w:t>
            </w:r>
            <w:r w:rsidR="00F45F44" w:rsidRPr="00F45F44">
              <w:rPr>
                <w:rFonts w:ascii="Barlow" w:hAnsi="Barlow"/>
                <w:sz w:val="22"/>
                <w:szCs w:val="22"/>
                <w:lang w:val="pl-PL"/>
              </w:rPr>
              <w:t>zwłaszcza na mokrej nawierzchni, co pomoże podnieść standardy bezpieczeństwa wyścigów ciężarówek.</w:t>
            </w:r>
          </w:p>
          <w:p w14:paraId="72EF9847" w14:textId="52318A45" w:rsidR="005B7B54" w:rsidRPr="005B7B54" w:rsidRDefault="005B7B54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Tegoroczne mistrzostwa będą </w:t>
            </w:r>
            <w:r w:rsid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obejmować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7 rund, które odbędą się </w:t>
            </w:r>
            <w:r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we Włoszech,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 </w:t>
            </w:r>
            <w:r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Słowacji,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</w:t>
            </w:r>
            <w:r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Belgii, Niemczech, Czechach, Francji i Hiszpanii. </w:t>
            </w:r>
            <w:r w:rsidR="00086FBC" w:rsidRPr="00086FBC">
              <w:rPr>
                <w:lang w:val="pl-PL"/>
              </w:rPr>
              <w:t xml:space="preserve"> </w:t>
            </w:r>
            <w:r w:rsidR="00086FBC"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centrum uwagi </w:t>
            </w:r>
            <w:r w:rsidR="0065647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będzie</w:t>
            </w:r>
            <w:r w:rsidR="00086FBC"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Norbert Kiss, pięciokrotny mistrz, który dominował w ostatnich trzech sezonach</w:t>
            </w:r>
            <w:r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</w:t>
            </w:r>
          </w:p>
          <w:p w14:paraId="5B53ABC8" w14:textId="00590A5F" w:rsidR="00F2057B" w:rsidRPr="00F2057B" w:rsidRDefault="00F2057B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F2057B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Nowa ciężarowa opona wyścigowa Goodyear </w:t>
            </w:r>
          </w:p>
          <w:p w14:paraId="221FAB54" w14:textId="493610AA" w:rsidR="004E23DC" w:rsidRDefault="004E23DC" w:rsidP="004E23DC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bookmarkStart w:id="0" w:name="_Hlk167183937"/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rzepisy 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wyścigowe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pozwalają na stosowanie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jednej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specyfikacji 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opon w różnych warunkach 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i 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 różnych torach</w:t>
            </w:r>
            <w:r w:rsidR="00FB4B8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-</w:t>
            </w:r>
            <w:r w:rsidR="00FB4B8C" w:rsidRPr="00FB4B8C">
              <w:rPr>
                <w:lang w:val="pl-PL"/>
              </w:rPr>
              <w:t xml:space="preserve"> </w:t>
            </w:r>
            <w:r w:rsidR="00FB4B8C" w:rsidRPr="00FB4B8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niezależnie czy są to nawierzchnie suche, mokre czy o zróżnicowanych temperaturach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bookmarkEnd w:id="0"/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Zapewnienie optymalnych osiągów w całej serii jest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więc 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wyzwaniem.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65647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ow</w:t>
            </w:r>
            <w:r w:rsidR="0065647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opon</w:t>
            </w:r>
            <w:r w:rsidR="0065647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 poszerza spektrum osiągów, zapewnia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jąc</w:t>
            </w:r>
            <w:r w:rsidRPr="004E23D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lepszą przyczepność na mokrej nawierzchni i większą trwałość. </w:t>
            </w:r>
          </w:p>
          <w:p w14:paraId="766B646B" w14:textId="61269C98" w:rsidR="00F2057B" w:rsidRDefault="00656474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pona została opracowana w Centrum Innowacji </w:t>
            </w:r>
            <w:proofErr w:type="spellStart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 Luksemburgu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a</w:t>
            </w:r>
            <w:r w:rsidR="00FB4B8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następnie poddana licznym </w:t>
            </w:r>
            <w:r w:rsid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badaniom i </w:t>
            </w:r>
            <w:r w:rsidR="005B7B5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testom m.in. 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 torach </w:t>
            </w:r>
            <w:proofErr w:type="spellStart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Nürburgring</w:t>
            </w:r>
            <w:proofErr w:type="spellEnd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Most i </w:t>
            </w:r>
            <w:proofErr w:type="spellStart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Slovakia</w:t>
            </w:r>
            <w:proofErr w:type="spellEnd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Ring. Inżynierowie skupili się</w:t>
            </w:r>
            <w:r w:rsidR="005B7B54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szczególnie 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 optymalizacji powierzchni styku opony z nawierzchnią, aby zapewnić równomierne zużycie i</w:t>
            </w:r>
            <w:r w:rsidR="00FB4B8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porównywalne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osiągi przez cały okres eksploatacji.</w:t>
            </w:r>
          </w:p>
          <w:p w14:paraId="17E267EF" w14:textId="46E409A2" w:rsidR="00086FBC" w:rsidRDefault="00F022D8" w:rsidP="00086FBC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Goodyear z dumą kontynuuje swoją obecność w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mistrzostwach</w:t>
            </w:r>
            <w:r w:rsidRPr="00F022D8">
              <w:rPr>
                <w:lang w:val="pl-PL"/>
              </w:rPr>
              <w:t xml:space="preserve"> 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FIA </w:t>
            </w:r>
            <w:proofErr w:type="spellStart"/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European</w:t>
            </w:r>
            <w:proofErr w:type="spellEnd"/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Truck Racing Championship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jedny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ch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 najbardziej prestiżowych wyścigów ciężarówek na świecie. Jako partner tytularny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wyłączny dostawca opon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robimy wszystko, 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aby zapewnić jak najlepsze wyniki na torze. Przekłada się to również na jakość milionów opon ciężarowych i nowoczesnych rozwiązań Goodyear, które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znajdują zastosowanie w codziennej działalności 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firm transportow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ych</w:t>
            </w:r>
            <w:r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 całej Europie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,” powiedział </w:t>
            </w:r>
            <w:r w:rsidR="00086FBC"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Maciej Szymański, dyrektor ds. marketingu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opon ciężarowych w Europie.</w:t>
            </w:r>
            <w:r w:rsidR="00086FBC"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</w:p>
          <w:p w14:paraId="03990BF8" w14:textId="38013808" w:rsidR="00F022D8" w:rsidRDefault="00622583" w:rsidP="00086FBC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lastRenderedPageBreak/>
              <w:t>„</w:t>
            </w:r>
            <w:r w:rsidR="00F022D8" w:rsidRP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Po ekscytującej wiadomości, że FIA Motorsport Games po raz pierwszy obejmą wyścigi ciężarówek, cieszymy się, że będziemy częścią tego międzynarodowego wydarzenia w Walencji w październiku,"</w:t>
            </w:r>
            <w:r w:rsidR="00F022D8"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dod</w:t>
            </w:r>
            <w:r w:rsid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ał</w:t>
            </w:r>
            <w:r w:rsidR="00F022D8"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Szymański. </w:t>
            </w:r>
            <w:r w:rsid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="00F022D8" w:rsidRP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To dowód na rosnącą popularność wyścigów ciężarówek na całym świecie. Jesteśmy dumni, że </w:t>
            </w:r>
            <w:r w:rsidR="00F022D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możemy współtworzyć to wspaniałe widowisko.”</w:t>
            </w:r>
          </w:p>
          <w:p w14:paraId="7FC3BDD8" w14:textId="6548054B" w:rsidR="00622583" w:rsidRDefault="00171F69" w:rsidP="00086FBC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Georg Fuchs, dyrektor zarządzający ETRA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powiedział: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622583"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„Jako nasz wyłączny dostawca opon i partner tytularny mistrzostw, Goodyear pozostaje w awangardzie innowacji w wyścigach samochodów ciężarowych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 W</w:t>
            </w:r>
            <w:r w:rsidR="00622583"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prowadzając opony nowej generacji, Goodyear potwierdza swoją pozycję lidera zarówno w dziedzinie opon wyścigowych, jak i komercyjnych, budującego przyszłość wyścigów pojazdów ciężarowych w kierunku większego bezpieczeństwa, osiągów i zrównoważonego rozwoju".</w:t>
            </w:r>
          </w:p>
          <w:p w14:paraId="747BA7AA" w14:textId="73ADD7B2" w:rsidR="00622583" w:rsidRPr="00086FBC" w:rsidRDefault="00622583" w:rsidP="00086FBC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nowym sezonie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będzie dalej wspierać wysiłki organizatorów zmierzające do ograniczenia ilości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odpadów pozostających po mistrzostwach, wydłużając</w:t>
            </w:r>
            <w:r w:rsid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żywotność opon poprzez bieżnikowanie. Dzięki temu opony stosowane w wyścigach Goodyear FIA ETRC mogą być dalej wykorzystywane przez floty transportowe.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oprzez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proces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bieżnikowani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</w:t>
            </w:r>
            <w:r w:rsidRP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Goodyear i ETRC podkreślają swoje zaangażowanie w zmniejszanie wpływu na środowisko, jednocześnie optymalizując wydajność zarówno na torze, jak i w codziennych operacjach komercyjnych.</w:t>
            </w:r>
          </w:p>
          <w:p w14:paraId="20D2CDC6" w14:textId="77777777" w:rsidR="00F2057B" w:rsidRPr="00F45F44" w:rsidRDefault="00F2057B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proofErr w:type="spellStart"/>
            <w:r w:rsidRPr="00F45F44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Pr="00F45F44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Drive </w:t>
            </w:r>
            <w:proofErr w:type="spellStart"/>
            <w:r w:rsidRPr="00F45F44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Results</w:t>
            </w:r>
            <w:proofErr w:type="spellEnd"/>
            <w:r w:rsidRPr="00F45F44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Tour pojawi się w padoku</w:t>
            </w:r>
          </w:p>
          <w:p w14:paraId="522CF9BF" w14:textId="68BA0452" w:rsidR="00F2057B" w:rsidRPr="00F2057B" w:rsidRDefault="00086FBC" w:rsidP="00F2057B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Wszystkim wydarzeniom Goodyear FIA </w:t>
            </w:r>
            <w:r w:rsid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ETRC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 tym sezonie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towarzyszyć będą</w:t>
            </w:r>
            <w:r w:rsidRPr="00086FBC">
              <w:rPr>
                <w:lang w:val="pl-PL"/>
              </w:rPr>
              <w:t xml:space="preserve"> </w:t>
            </w:r>
            <w:r w:rsid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nowe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ciężarówk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pokazow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 </w:t>
            </w:r>
            <w:r w:rsidR="00171F6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interaktywnym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showroomem</w:t>
            </w:r>
            <w:proofErr w:type="spellEnd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na pokładzie, któr</w:t>
            </w:r>
            <w:r w:rsid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podróżuj</w:t>
            </w:r>
            <w:r w:rsidR="006225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ą</w:t>
            </w:r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 Europie w ramach kampanii </w:t>
            </w:r>
            <w:proofErr w:type="spellStart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Drive </w:t>
            </w:r>
            <w:proofErr w:type="spellStart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Result</w:t>
            </w:r>
            <w:proofErr w:type="spellEnd"/>
            <w:r w:rsidRPr="00086FBC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Tour 202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4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Odwiedzający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będą mieli okazję dowiedzieć się, w jaki sposób oferta </w:t>
            </w:r>
            <w:proofErr w:type="spellStart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Total </w:t>
            </w:r>
            <w:proofErr w:type="spellStart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Mobility</w:t>
            </w:r>
            <w:proofErr w:type="spellEnd"/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może pomóc flotom poprawić efektywność paliwową, obniżyć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ich</w:t>
            </w:r>
            <w:r w:rsidR="00F2057B" w:rsidRPr="00F2057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koszty operacyjne i ograniczyć ryzyko nieoczekiwanych awarii.</w:t>
            </w:r>
          </w:p>
          <w:p w14:paraId="2BAC0284" w14:textId="73B379E2" w:rsidR="00B1306F" w:rsidRPr="007B3CBD" w:rsidRDefault="00B1306F" w:rsidP="00295F7A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B3CBD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</w:p>
          <w:p w14:paraId="7DD3AFA9" w14:textId="76718E1C" w:rsidR="000422E7" w:rsidRPr="004328E2" w:rsidRDefault="00B1306F" w:rsidP="004328E2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 jest jedną z największych firm oponiarskich na świecie. Zatrudnia około 71 000 osób i wytwarza swoje produkty w 55 zakładach w 22 krajach świata. Jej dwa ośrodki innowacyjności w Akron w stanie Ohio i w Colmar-Berg w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Luksemburgu dążą do opracowywania najnowocześniejszych produktów i</w:t>
            </w:r>
            <w:r w:rsidR="000555F5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 </w:t>
            </w:r>
            <w:r w:rsidRPr="005C3BD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usług, które wyznaczają standardy technologiczne i eksploatacyjne dla całej branży. Więcej informacji o firmie Goodyear i jej produktach można znaleźć na  https://news.goodyear.eu/pl-pl/.  </w:t>
            </w:r>
          </w:p>
        </w:tc>
      </w:tr>
    </w:tbl>
    <w:p w14:paraId="4C5C123E" w14:textId="77777777" w:rsidR="00EA6ECE" w:rsidRDefault="00EA6ECE" w:rsidP="00046E56">
      <w:pPr>
        <w:rPr>
          <w:lang w:val="pl-PL"/>
        </w:rPr>
      </w:pPr>
    </w:p>
    <w:p w14:paraId="63BE8108" w14:textId="77777777" w:rsidR="00622583" w:rsidRDefault="00622583" w:rsidP="00046E56">
      <w:pPr>
        <w:rPr>
          <w:lang w:val="pl-PL"/>
        </w:rPr>
      </w:pPr>
    </w:p>
    <w:p w14:paraId="511C3021" w14:textId="77777777" w:rsidR="00622583" w:rsidRPr="00EC60AE" w:rsidRDefault="00622583" w:rsidP="00046E56">
      <w:pPr>
        <w:rPr>
          <w:lang w:val="pl-PL"/>
        </w:rPr>
      </w:pPr>
    </w:p>
    <w:sectPr w:rsidR="00622583" w:rsidRPr="00EC60AE" w:rsidSect="00034364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8B7D5" w14:textId="77777777" w:rsidR="00A13388" w:rsidRDefault="00A13388" w:rsidP="00843DB1">
      <w:r>
        <w:separator/>
      </w:r>
    </w:p>
    <w:p w14:paraId="4F614457" w14:textId="77777777" w:rsidR="00A13388" w:rsidRDefault="00A13388"/>
  </w:endnote>
  <w:endnote w:type="continuationSeparator" w:id="0">
    <w:p w14:paraId="288210D5" w14:textId="77777777" w:rsidR="00A13388" w:rsidRDefault="00A13388" w:rsidP="00843DB1">
      <w:r>
        <w:continuationSeparator/>
      </w:r>
    </w:p>
    <w:p w14:paraId="20CC77D9" w14:textId="77777777" w:rsidR="00A13388" w:rsidRDefault="00A13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C0906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2C4A2" w14:textId="77777777" w:rsidR="00A13388" w:rsidRDefault="00A13388" w:rsidP="00843DB1">
      <w:r>
        <w:separator/>
      </w:r>
    </w:p>
    <w:p w14:paraId="405E409C" w14:textId="77777777" w:rsidR="00A13388" w:rsidRDefault="00A13388"/>
  </w:footnote>
  <w:footnote w:type="continuationSeparator" w:id="0">
    <w:p w14:paraId="37C3DE26" w14:textId="77777777" w:rsidR="00A13388" w:rsidRDefault="00A13388" w:rsidP="00843DB1">
      <w:r>
        <w:continuationSeparator/>
      </w:r>
    </w:p>
    <w:p w14:paraId="702E34CA" w14:textId="77777777" w:rsidR="00A13388" w:rsidRDefault="00A13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11B2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5"/>
  </w:num>
  <w:num w:numId="2" w16cid:durableId="1197547242">
    <w:abstractNumId w:val="3"/>
  </w:num>
  <w:num w:numId="3" w16cid:durableId="746071160">
    <w:abstractNumId w:val="1"/>
  </w:num>
  <w:num w:numId="4" w16cid:durableId="1266621793">
    <w:abstractNumId w:val="0"/>
  </w:num>
  <w:num w:numId="5" w16cid:durableId="1435705712">
    <w:abstractNumId w:val="4"/>
  </w:num>
  <w:num w:numId="6" w16cid:durableId="537620543">
    <w:abstractNumId w:val="2"/>
  </w:num>
  <w:num w:numId="7" w16cid:durableId="768087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364"/>
    <w:rsid w:val="0003461B"/>
    <w:rsid w:val="00034DE1"/>
    <w:rsid w:val="000417A4"/>
    <w:rsid w:val="00041F7E"/>
    <w:rsid w:val="000422E7"/>
    <w:rsid w:val="000435E6"/>
    <w:rsid w:val="00046E56"/>
    <w:rsid w:val="00050E42"/>
    <w:rsid w:val="000555F5"/>
    <w:rsid w:val="0005769A"/>
    <w:rsid w:val="00073410"/>
    <w:rsid w:val="00086FBC"/>
    <w:rsid w:val="000930CF"/>
    <w:rsid w:val="000A17A6"/>
    <w:rsid w:val="000A6657"/>
    <w:rsid w:val="000B14DC"/>
    <w:rsid w:val="000C107F"/>
    <w:rsid w:val="000E0E24"/>
    <w:rsid w:val="000E51E6"/>
    <w:rsid w:val="00113602"/>
    <w:rsid w:val="0014222B"/>
    <w:rsid w:val="001554C8"/>
    <w:rsid w:val="00171F69"/>
    <w:rsid w:val="001906CF"/>
    <w:rsid w:val="001A566F"/>
    <w:rsid w:val="001D67E6"/>
    <w:rsid w:val="00201F78"/>
    <w:rsid w:val="00221106"/>
    <w:rsid w:val="002236D8"/>
    <w:rsid w:val="00241AFB"/>
    <w:rsid w:val="00263B70"/>
    <w:rsid w:val="002749F0"/>
    <w:rsid w:val="00295F7A"/>
    <w:rsid w:val="002B15FA"/>
    <w:rsid w:val="002C3B75"/>
    <w:rsid w:val="002C5921"/>
    <w:rsid w:val="002D485F"/>
    <w:rsid w:val="002D545B"/>
    <w:rsid w:val="002E790D"/>
    <w:rsid w:val="00316D23"/>
    <w:rsid w:val="0032228A"/>
    <w:rsid w:val="003245EB"/>
    <w:rsid w:val="003248B7"/>
    <w:rsid w:val="00341596"/>
    <w:rsid w:val="00352915"/>
    <w:rsid w:val="0035594F"/>
    <w:rsid w:val="00356D5B"/>
    <w:rsid w:val="00362761"/>
    <w:rsid w:val="003640A2"/>
    <w:rsid w:val="00376807"/>
    <w:rsid w:val="0038257B"/>
    <w:rsid w:val="003A43DD"/>
    <w:rsid w:val="003A70F3"/>
    <w:rsid w:val="003B2E83"/>
    <w:rsid w:val="003B7794"/>
    <w:rsid w:val="003C1734"/>
    <w:rsid w:val="003D0175"/>
    <w:rsid w:val="003D1647"/>
    <w:rsid w:val="003D51B6"/>
    <w:rsid w:val="003F768A"/>
    <w:rsid w:val="0040231F"/>
    <w:rsid w:val="004109D6"/>
    <w:rsid w:val="004149B2"/>
    <w:rsid w:val="004257A9"/>
    <w:rsid w:val="00430DF3"/>
    <w:rsid w:val="004328E2"/>
    <w:rsid w:val="00451543"/>
    <w:rsid w:val="0046506D"/>
    <w:rsid w:val="00484116"/>
    <w:rsid w:val="004910C2"/>
    <w:rsid w:val="00492E51"/>
    <w:rsid w:val="00494CE9"/>
    <w:rsid w:val="004A4209"/>
    <w:rsid w:val="004A4D8E"/>
    <w:rsid w:val="004A761C"/>
    <w:rsid w:val="004B0EE8"/>
    <w:rsid w:val="004B21A3"/>
    <w:rsid w:val="004B5571"/>
    <w:rsid w:val="004B7C8C"/>
    <w:rsid w:val="004E23DC"/>
    <w:rsid w:val="004E43EF"/>
    <w:rsid w:val="004F5BD0"/>
    <w:rsid w:val="00500E1B"/>
    <w:rsid w:val="00522D81"/>
    <w:rsid w:val="00523FB1"/>
    <w:rsid w:val="00546CD5"/>
    <w:rsid w:val="005A3E02"/>
    <w:rsid w:val="005B26B6"/>
    <w:rsid w:val="005B7B54"/>
    <w:rsid w:val="005C091F"/>
    <w:rsid w:val="005C3BD9"/>
    <w:rsid w:val="005D6D19"/>
    <w:rsid w:val="0060394A"/>
    <w:rsid w:val="00622583"/>
    <w:rsid w:val="00634EDC"/>
    <w:rsid w:val="00656474"/>
    <w:rsid w:val="00663654"/>
    <w:rsid w:val="00664C0B"/>
    <w:rsid w:val="0067169F"/>
    <w:rsid w:val="00675E63"/>
    <w:rsid w:val="00694613"/>
    <w:rsid w:val="0069740D"/>
    <w:rsid w:val="006C5881"/>
    <w:rsid w:val="006D3688"/>
    <w:rsid w:val="006E6A91"/>
    <w:rsid w:val="00707053"/>
    <w:rsid w:val="00720D8A"/>
    <w:rsid w:val="007315DE"/>
    <w:rsid w:val="00731DFC"/>
    <w:rsid w:val="007322BF"/>
    <w:rsid w:val="00735631"/>
    <w:rsid w:val="007527BF"/>
    <w:rsid w:val="00785348"/>
    <w:rsid w:val="007A2237"/>
    <w:rsid w:val="007A45EE"/>
    <w:rsid w:val="007A7CBC"/>
    <w:rsid w:val="007B1235"/>
    <w:rsid w:val="007B3CBD"/>
    <w:rsid w:val="007B3FF5"/>
    <w:rsid w:val="007B4708"/>
    <w:rsid w:val="007C3C24"/>
    <w:rsid w:val="007D6B8F"/>
    <w:rsid w:val="007F13DA"/>
    <w:rsid w:val="007F2BE0"/>
    <w:rsid w:val="00801E03"/>
    <w:rsid w:val="00801E49"/>
    <w:rsid w:val="00815BEE"/>
    <w:rsid w:val="00837141"/>
    <w:rsid w:val="008407C8"/>
    <w:rsid w:val="00843DB1"/>
    <w:rsid w:val="0085190F"/>
    <w:rsid w:val="008A1EB9"/>
    <w:rsid w:val="008A3A0E"/>
    <w:rsid w:val="008B110E"/>
    <w:rsid w:val="008B4466"/>
    <w:rsid w:val="008C53A0"/>
    <w:rsid w:val="008D3F44"/>
    <w:rsid w:val="008E0840"/>
    <w:rsid w:val="008F24AE"/>
    <w:rsid w:val="00902A3F"/>
    <w:rsid w:val="009122F4"/>
    <w:rsid w:val="0091517B"/>
    <w:rsid w:val="009324A0"/>
    <w:rsid w:val="00953D4A"/>
    <w:rsid w:val="00961CB4"/>
    <w:rsid w:val="009622C7"/>
    <w:rsid w:val="00971391"/>
    <w:rsid w:val="00973F88"/>
    <w:rsid w:val="00975DC9"/>
    <w:rsid w:val="00984B5E"/>
    <w:rsid w:val="00984FDA"/>
    <w:rsid w:val="00990E09"/>
    <w:rsid w:val="00994CCD"/>
    <w:rsid w:val="009A334D"/>
    <w:rsid w:val="009B01BD"/>
    <w:rsid w:val="009B4D55"/>
    <w:rsid w:val="009D240E"/>
    <w:rsid w:val="009E3682"/>
    <w:rsid w:val="009E6530"/>
    <w:rsid w:val="009F1B7E"/>
    <w:rsid w:val="00A0778F"/>
    <w:rsid w:val="00A13388"/>
    <w:rsid w:val="00A14B01"/>
    <w:rsid w:val="00A14B5F"/>
    <w:rsid w:val="00A16476"/>
    <w:rsid w:val="00A212EE"/>
    <w:rsid w:val="00A408E1"/>
    <w:rsid w:val="00A4447D"/>
    <w:rsid w:val="00A559C5"/>
    <w:rsid w:val="00A65982"/>
    <w:rsid w:val="00A731F0"/>
    <w:rsid w:val="00A73244"/>
    <w:rsid w:val="00A74E5A"/>
    <w:rsid w:val="00A942B1"/>
    <w:rsid w:val="00AC5BAC"/>
    <w:rsid w:val="00AD0AEE"/>
    <w:rsid w:val="00AD13D8"/>
    <w:rsid w:val="00AE59E5"/>
    <w:rsid w:val="00B006D9"/>
    <w:rsid w:val="00B03C98"/>
    <w:rsid w:val="00B1215D"/>
    <w:rsid w:val="00B1306F"/>
    <w:rsid w:val="00B22B37"/>
    <w:rsid w:val="00B25844"/>
    <w:rsid w:val="00B34E48"/>
    <w:rsid w:val="00B41545"/>
    <w:rsid w:val="00B64A14"/>
    <w:rsid w:val="00B717DE"/>
    <w:rsid w:val="00B91521"/>
    <w:rsid w:val="00B92D66"/>
    <w:rsid w:val="00B94FBE"/>
    <w:rsid w:val="00BE1840"/>
    <w:rsid w:val="00C16D73"/>
    <w:rsid w:val="00C17ADF"/>
    <w:rsid w:val="00C203E5"/>
    <w:rsid w:val="00C35694"/>
    <w:rsid w:val="00C417ED"/>
    <w:rsid w:val="00C620BF"/>
    <w:rsid w:val="00C9665D"/>
    <w:rsid w:val="00CB64B4"/>
    <w:rsid w:val="00CB7944"/>
    <w:rsid w:val="00CC1397"/>
    <w:rsid w:val="00CC4C9D"/>
    <w:rsid w:val="00CD10E0"/>
    <w:rsid w:val="00CF77B1"/>
    <w:rsid w:val="00D1356B"/>
    <w:rsid w:val="00D245CA"/>
    <w:rsid w:val="00D25684"/>
    <w:rsid w:val="00D27761"/>
    <w:rsid w:val="00D349C5"/>
    <w:rsid w:val="00D42554"/>
    <w:rsid w:val="00D5661E"/>
    <w:rsid w:val="00D63438"/>
    <w:rsid w:val="00D74B1F"/>
    <w:rsid w:val="00D85859"/>
    <w:rsid w:val="00D93046"/>
    <w:rsid w:val="00DA16D8"/>
    <w:rsid w:val="00DB0BF9"/>
    <w:rsid w:val="00DB6E36"/>
    <w:rsid w:val="00DC3AC8"/>
    <w:rsid w:val="00DC5D89"/>
    <w:rsid w:val="00DC6A0E"/>
    <w:rsid w:val="00DF0314"/>
    <w:rsid w:val="00DF31D7"/>
    <w:rsid w:val="00E04164"/>
    <w:rsid w:val="00E0573C"/>
    <w:rsid w:val="00E34121"/>
    <w:rsid w:val="00E51C83"/>
    <w:rsid w:val="00E57AF2"/>
    <w:rsid w:val="00E70DEA"/>
    <w:rsid w:val="00E7113A"/>
    <w:rsid w:val="00E81DE4"/>
    <w:rsid w:val="00E913CB"/>
    <w:rsid w:val="00EA6ECE"/>
    <w:rsid w:val="00EC4F1A"/>
    <w:rsid w:val="00EC60AE"/>
    <w:rsid w:val="00EE623A"/>
    <w:rsid w:val="00EE6D99"/>
    <w:rsid w:val="00EF21DE"/>
    <w:rsid w:val="00F022D8"/>
    <w:rsid w:val="00F04FA8"/>
    <w:rsid w:val="00F2057B"/>
    <w:rsid w:val="00F27EA2"/>
    <w:rsid w:val="00F35A51"/>
    <w:rsid w:val="00F45B5F"/>
    <w:rsid w:val="00F45F44"/>
    <w:rsid w:val="00F469AC"/>
    <w:rsid w:val="00F52BD3"/>
    <w:rsid w:val="00F67908"/>
    <w:rsid w:val="00F77477"/>
    <w:rsid w:val="00F80BC1"/>
    <w:rsid w:val="00F9699D"/>
    <w:rsid w:val="00F96DB8"/>
    <w:rsid w:val="00FB4B8C"/>
    <w:rsid w:val="00FD35DD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  <w:style w:type="paragraph" w:styleId="Poprawka">
    <w:name w:val="Revision"/>
    <w:hidden/>
    <w:uiPriority w:val="99"/>
    <w:semiHidden/>
    <w:rsid w:val="00356D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633</Words>
  <Characters>3803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2</cp:revision>
  <dcterms:created xsi:type="dcterms:W3CDTF">2024-05-21T10:22:00Z</dcterms:created>
  <dcterms:modified xsi:type="dcterms:W3CDTF">2024-05-21T10:22:00Z</dcterms:modified>
</cp:coreProperties>
</file>